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C40" w:rsidRPr="00605E46" w:rsidRDefault="008F6C40">
      <w:pPr>
        <w:pStyle w:val="Heading1"/>
        <w:widowControl/>
        <w:rPr>
          <w:rFonts w:ascii="Arial" w:hAnsi="Arial" w:cs="Arial"/>
          <w:color w:val="1F497D"/>
          <w:sz w:val="20"/>
        </w:rPr>
      </w:pPr>
      <w:bookmarkStart w:id="0" w:name="OLE_LINK3"/>
      <w:bookmarkStart w:id="1" w:name="OLE_LINK4"/>
      <w:r w:rsidRPr="00605E46">
        <w:rPr>
          <w:rFonts w:ascii="Arial" w:hAnsi="Arial" w:cs="Arial"/>
          <w:color w:val="1F497D"/>
          <w:sz w:val="20"/>
        </w:rPr>
        <w:t>COMMUNIQUÉ</w:t>
      </w:r>
    </w:p>
    <w:p w:rsidR="008F6C40" w:rsidRPr="00605E46" w:rsidRDefault="008F6C40" w:rsidP="007D4ABB">
      <w:pPr>
        <w:rPr>
          <w:rFonts w:ascii="Arial" w:hAnsi="Arial" w:cs="Arial"/>
          <w:color w:val="1F497D"/>
        </w:rPr>
      </w:pPr>
      <w:r w:rsidRPr="00605E46">
        <w:rPr>
          <w:rFonts w:ascii="Arial" w:hAnsi="Arial" w:cs="Arial"/>
          <w:color w:val="1F497D"/>
        </w:rPr>
        <w:t>Pour publication immédiate</w:t>
      </w:r>
    </w:p>
    <w:p w:rsidR="008F6C40" w:rsidRPr="00605E46" w:rsidRDefault="008F6C40" w:rsidP="00DF4336">
      <w:pPr>
        <w:jc w:val="center"/>
        <w:rPr>
          <w:rFonts w:ascii="Arial" w:hAnsi="Arial" w:cs="Arial"/>
          <w:b/>
          <w:color w:val="1F497D"/>
          <w:sz w:val="18"/>
          <w:szCs w:val="18"/>
        </w:rPr>
      </w:pPr>
      <w:bookmarkStart w:id="2" w:name="OLE_LINK1"/>
      <w:bookmarkStart w:id="3" w:name="OLE_LINK2"/>
    </w:p>
    <w:p w:rsidR="008F6C40" w:rsidRPr="00605E46" w:rsidRDefault="008F6C40" w:rsidP="00064CE7">
      <w:pPr>
        <w:jc w:val="center"/>
        <w:rPr>
          <w:rFonts w:ascii="Arial" w:hAnsi="Arial" w:cs="Arial"/>
          <w:b/>
          <w:color w:val="1F497D"/>
          <w:sz w:val="18"/>
          <w:szCs w:val="18"/>
        </w:rPr>
      </w:pPr>
      <w:r w:rsidRPr="00605E46">
        <w:rPr>
          <w:rFonts w:ascii="Arial" w:hAnsi="Arial" w:cs="Arial"/>
          <w:b/>
          <w:color w:val="1F497D"/>
          <w:sz w:val="18"/>
          <w:szCs w:val="18"/>
        </w:rPr>
        <w:t>Toutes taxes incluses</w:t>
      </w:r>
    </w:p>
    <w:p w:rsidR="008F6C40" w:rsidRPr="00605E46" w:rsidRDefault="008F6C40" w:rsidP="00DF4336">
      <w:pPr>
        <w:jc w:val="center"/>
        <w:rPr>
          <w:rFonts w:ascii="Arial" w:hAnsi="Arial" w:cs="Arial"/>
          <w:b/>
          <w:color w:val="1F497D"/>
          <w:sz w:val="28"/>
          <w:szCs w:val="28"/>
        </w:rPr>
      </w:pPr>
      <w:r w:rsidRPr="00605E46">
        <w:rPr>
          <w:rFonts w:ascii="Arial" w:hAnsi="Arial" w:cs="Arial"/>
          <w:b/>
          <w:color w:val="1F497D"/>
          <w:sz w:val="28"/>
          <w:szCs w:val="28"/>
        </w:rPr>
        <w:t>AIR FRANCE FAIT SA RENTRÉE A COMPTER DE 799 $</w:t>
      </w:r>
    </w:p>
    <w:p w:rsidR="008F6C40" w:rsidRPr="00605E46" w:rsidRDefault="008F6C40" w:rsidP="004B321C">
      <w:pPr>
        <w:widowControl/>
        <w:autoSpaceDE w:val="0"/>
        <w:autoSpaceDN w:val="0"/>
        <w:adjustRightInd w:val="0"/>
        <w:jc w:val="both"/>
        <w:rPr>
          <w:rFonts w:ascii="Arial" w:hAnsi="Arial" w:cs="Arial"/>
          <w:color w:val="1F497D"/>
          <w:lang w:val="fr-FR"/>
        </w:rPr>
      </w:pPr>
    </w:p>
    <w:p w:rsidR="008F6C40" w:rsidRPr="00605E46" w:rsidRDefault="008F6C40" w:rsidP="004A6260">
      <w:pPr>
        <w:widowControl/>
        <w:autoSpaceDE w:val="0"/>
        <w:autoSpaceDN w:val="0"/>
        <w:adjustRightInd w:val="0"/>
        <w:jc w:val="both"/>
        <w:rPr>
          <w:rFonts w:ascii="Arial" w:hAnsi="Arial" w:cs="Arial"/>
          <w:color w:val="1F497D"/>
          <w:sz w:val="21"/>
          <w:szCs w:val="21"/>
          <w:lang w:val="fr-FR"/>
        </w:rPr>
      </w:pPr>
      <w:r w:rsidRPr="00605E46">
        <w:rPr>
          <w:rFonts w:ascii="Arial" w:hAnsi="Arial" w:cs="Arial"/>
          <w:color w:val="1F497D"/>
          <w:sz w:val="21"/>
          <w:szCs w:val="21"/>
          <w:lang w:val="fr-FR"/>
        </w:rPr>
        <w:t xml:space="preserve">Montréal, le 28 août 2012 – Dans le cadre d’une promotion de rentrée pour ses vols au départ de Montréal, Toronto et Ottawa, Air France propose des billets vers plusieurs destinations européennes à compter de </w:t>
      </w:r>
      <w:r w:rsidRPr="00605E46">
        <w:rPr>
          <w:rFonts w:ascii="Arial" w:hAnsi="Arial" w:cs="Arial"/>
          <w:b/>
          <w:color w:val="1F497D"/>
          <w:sz w:val="21"/>
          <w:szCs w:val="21"/>
          <w:lang w:val="fr-FR"/>
        </w:rPr>
        <w:t>799 $</w:t>
      </w:r>
      <w:r w:rsidRPr="00605E46">
        <w:rPr>
          <w:rFonts w:ascii="Arial" w:hAnsi="Arial" w:cs="Arial"/>
          <w:color w:val="1F497D"/>
          <w:sz w:val="21"/>
          <w:szCs w:val="21"/>
          <w:lang w:val="fr-FR"/>
        </w:rPr>
        <w:t xml:space="preserve"> en classe Voyageur et à compter de 1249 $ en cabine Premium Voyageur.</w:t>
      </w:r>
    </w:p>
    <w:p w:rsidR="008F6C40" w:rsidRPr="00605E46" w:rsidRDefault="008F6C40" w:rsidP="004A6260">
      <w:pPr>
        <w:widowControl/>
        <w:autoSpaceDE w:val="0"/>
        <w:autoSpaceDN w:val="0"/>
        <w:adjustRightInd w:val="0"/>
        <w:jc w:val="both"/>
        <w:rPr>
          <w:rFonts w:ascii="Arial" w:hAnsi="Arial" w:cs="Arial"/>
          <w:color w:val="1F497D"/>
          <w:sz w:val="21"/>
          <w:szCs w:val="21"/>
          <w:lang w:val="fr-FR"/>
        </w:rPr>
      </w:pPr>
    </w:p>
    <w:p w:rsidR="008F6C40" w:rsidRPr="00605E46" w:rsidRDefault="008F6C40" w:rsidP="00BC0D7A">
      <w:pPr>
        <w:widowControl/>
        <w:autoSpaceDE w:val="0"/>
        <w:autoSpaceDN w:val="0"/>
        <w:adjustRightInd w:val="0"/>
        <w:jc w:val="both"/>
        <w:rPr>
          <w:rFonts w:ascii="Arial" w:hAnsi="Arial" w:cs="Arial"/>
          <w:color w:val="1F497D"/>
          <w:sz w:val="21"/>
          <w:szCs w:val="21"/>
          <w:lang w:val="fr-FR"/>
        </w:rPr>
      </w:pPr>
      <w:r w:rsidRPr="00605E46">
        <w:rPr>
          <w:rFonts w:ascii="Arial" w:hAnsi="Arial" w:cs="Arial"/>
          <w:color w:val="1F497D"/>
          <w:sz w:val="21"/>
          <w:szCs w:val="21"/>
          <w:lang w:val="fr-FR"/>
        </w:rPr>
        <w:t xml:space="preserve">Cette promotion, </w:t>
      </w:r>
      <w:r w:rsidRPr="00605E46">
        <w:rPr>
          <w:rFonts w:ascii="Arial" w:hAnsi="Arial" w:cs="Arial"/>
          <w:b/>
          <w:color w:val="1F497D"/>
          <w:sz w:val="21"/>
          <w:szCs w:val="21"/>
          <w:lang w:val="fr-FR"/>
        </w:rPr>
        <w:t>en vigueur jusqu’au 18 septembre</w:t>
      </w:r>
      <w:r w:rsidRPr="00605E46">
        <w:rPr>
          <w:rFonts w:ascii="Arial" w:hAnsi="Arial" w:cs="Arial"/>
          <w:color w:val="1F497D"/>
          <w:sz w:val="21"/>
          <w:szCs w:val="21"/>
          <w:lang w:val="fr-FR"/>
        </w:rPr>
        <w:t xml:space="preserve">, est valable pour des voyages avec un départ entre le </w:t>
      </w:r>
      <w:r w:rsidRPr="00605E46">
        <w:rPr>
          <w:rFonts w:ascii="Arial" w:hAnsi="Arial" w:cs="Arial"/>
          <w:b/>
          <w:color w:val="1F497D"/>
          <w:sz w:val="21"/>
          <w:szCs w:val="21"/>
          <w:lang w:val="fr-FR"/>
        </w:rPr>
        <w:t>11 septembre 2012 au 18 juin 2013</w:t>
      </w:r>
      <w:r w:rsidRPr="00605E46">
        <w:rPr>
          <w:rFonts w:ascii="Arial" w:hAnsi="Arial" w:cs="Arial"/>
          <w:color w:val="1F497D"/>
          <w:sz w:val="21"/>
          <w:szCs w:val="21"/>
          <w:lang w:val="fr-FR"/>
        </w:rPr>
        <w:t xml:space="preserve">.  Les tarifs affichés respectent l’engagement pris par Air France vis-à-vis des consommateurs en présentant le prix final à payer pour un voyage aller et retour.   </w:t>
      </w:r>
    </w:p>
    <w:p w:rsidR="008F6C40" w:rsidRPr="00605E46" w:rsidRDefault="008F6C40" w:rsidP="007D4ABB">
      <w:pPr>
        <w:widowControl/>
        <w:autoSpaceDE w:val="0"/>
        <w:autoSpaceDN w:val="0"/>
        <w:adjustRightInd w:val="0"/>
        <w:jc w:val="both"/>
        <w:rPr>
          <w:rFonts w:ascii="Arial" w:hAnsi="Arial" w:cs="Arial"/>
          <w:color w:val="1F497D"/>
          <w:sz w:val="21"/>
          <w:szCs w:val="21"/>
          <w:lang w:val="fr-FR"/>
        </w:rPr>
      </w:pPr>
    </w:p>
    <w:p w:rsidR="008F6C40" w:rsidRPr="00605E46" w:rsidRDefault="008F6C40" w:rsidP="007D4ABB">
      <w:pPr>
        <w:widowControl/>
        <w:autoSpaceDE w:val="0"/>
        <w:autoSpaceDN w:val="0"/>
        <w:adjustRightInd w:val="0"/>
        <w:jc w:val="both"/>
        <w:rPr>
          <w:rFonts w:ascii="Arial" w:hAnsi="Arial" w:cs="Arial"/>
          <w:color w:val="1F497D"/>
          <w:sz w:val="21"/>
          <w:szCs w:val="21"/>
          <w:lang w:val="fr-FR"/>
        </w:rPr>
      </w:pPr>
      <w:r w:rsidRPr="00605E46">
        <w:rPr>
          <w:rFonts w:ascii="Arial" w:hAnsi="Arial" w:cs="Arial"/>
          <w:color w:val="1F497D"/>
          <w:sz w:val="21"/>
          <w:szCs w:val="21"/>
          <w:lang w:val="fr-FR"/>
        </w:rPr>
        <w:t xml:space="preserve">En classe </w:t>
      </w:r>
      <w:r w:rsidRPr="00605E46">
        <w:rPr>
          <w:rFonts w:ascii="Arial" w:hAnsi="Arial" w:cs="Arial"/>
          <w:b/>
          <w:color w:val="1F497D"/>
          <w:sz w:val="21"/>
          <w:szCs w:val="21"/>
          <w:lang w:val="fr-FR"/>
        </w:rPr>
        <w:t>Voyageur</w:t>
      </w:r>
      <w:r w:rsidRPr="00605E46">
        <w:rPr>
          <w:rFonts w:ascii="Arial" w:hAnsi="Arial" w:cs="Arial"/>
          <w:color w:val="1F497D"/>
          <w:sz w:val="21"/>
          <w:szCs w:val="21"/>
          <w:lang w:val="fr-FR"/>
        </w:rPr>
        <w:t xml:space="preserve"> (économique), la France, l’Espagne, la Turquie, la Tunisie, le Portugal et la Russie sont proposées à compter de 799$.  Parmi les autres destinations offertes figurent le Liban et Israël à 999$ ainsi que l’Ile Maurice à 1299 $.  </w:t>
      </w:r>
    </w:p>
    <w:p w:rsidR="008F6C40" w:rsidRPr="00605E46" w:rsidRDefault="008F6C40" w:rsidP="007D4ABB">
      <w:pPr>
        <w:widowControl/>
        <w:autoSpaceDE w:val="0"/>
        <w:autoSpaceDN w:val="0"/>
        <w:adjustRightInd w:val="0"/>
        <w:jc w:val="both"/>
        <w:rPr>
          <w:rFonts w:ascii="Arial" w:hAnsi="Arial" w:cs="Arial"/>
          <w:color w:val="1F497D"/>
          <w:sz w:val="21"/>
          <w:szCs w:val="21"/>
          <w:lang w:val="fr-FR"/>
        </w:rPr>
      </w:pPr>
    </w:p>
    <w:p w:rsidR="008F6C40" w:rsidRPr="00605E46" w:rsidRDefault="008F6C40" w:rsidP="007D4ABB">
      <w:pPr>
        <w:widowControl/>
        <w:autoSpaceDE w:val="0"/>
        <w:autoSpaceDN w:val="0"/>
        <w:adjustRightInd w:val="0"/>
        <w:jc w:val="both"/>
        <w:rPr>
          <w:rFonts w:ascii="Arial" w:hAnsi="Arial" w:cs="Arial"/>
          <w:color w:val="1F497D"/>
          <w:sz w:val="21"/>
          <w:szCs w:val="21"/>
          <w:lang w:val="fr-FR"/>
        </w:rPr>
      </w:pPr>
      <w:r w:rsidRPr="00605E46">
        <w:rPr>
          <w:rFonts w:ascii="Arial" w:hAnsi="Arial" w:cs="Arial"/>
          <w:color w:val="1F497D"/>
          <w:sz w:val="21"/>
          <w:szCs w:val="21"/>
          <w:lang w:val="fr-FR"/>
        </w:rPr>
        <w:t xml:space="preserve">En classe </w:t>
      </w:r>
      <w:r w:rsidRPr="00605E46">
        <w:rPr>
          <w:rFonts w:ascii="Arial" w:hAnsi="Arial" w:cs="Arial"/>
          <w:b/>
          <w:color w:val="1F497D"/>
          <w:sz w:val="21"/>
          <w:szCs w:val="21"/>
          <w:lang w:val="fr-FR"/>
        </w:rPr>
        <w:t>Premium Voyageur</w:t>
      </w:r>
      <w:r w:rsidRPr="00605E46">
        <w:rPr>
          <w:rFonts w:ascii="Arial" w:hAnsi="Arial" w:cs="Arial"/>
          <w:color w:val="1F497D"/>
          <w:sz w:val="21"/>
          <w:szCs w:val="21"/>
          <w:lang w:val="fr-FR"/>
        </w:rPr>
        <w:t xml:space="preserve">, qui offre plusieurs avantages dont 40 % plus d’espace que la classe économique et une franchise de 2 bagages de 23 kilos, les mêmes billets sont proposés avec un supplément de 225 $ par sens.   </w:t>
      </w:r>
    </w:p>
    <w:p w:rsidR="008F6C40" w:rsidRPr="00605E46" w:rsidRDefault="008F6C40" w:rsidP="00BC0D7A">
      <w:pPr>
        <w:widowControl/>
        <w:autoSpaceDE w:val="0"/>
        <w:autoSpaceDN w:val="0"/>
        <w:adjustRightInd w:val="0"/>
        <w:jc w:val="both"/>
        <w:rPr>
          <w:rFonts w:ascii="Arial" w:hAnsi="Arial" w:cs="Arial"/>
          <w:color w:val="1F497D"/>
          <w:sz w:val="21"/>
          <w:szCs w:val="21"/>
          <w:lang w:val="fr-FR"/>
        </w:rPr>
      </w:pPr>
    </w:p>
    <w:p w:rsidR="008F6C40" w:rsidRPr="00605E46" w:rsidRDefault="008F6C40" w:rsidP="004A6260">
      <w:pPr>
        <w:widowControl/>
        <w:autoSpaceDE w:val="0"/>
        <w:autoSpaceDN w:val="0"/>
        <w:adjustRightInd w:val="0"/>
        <w:jc w:val="both"/>
        <w:rPr>
          <w:rFonts w:ascii="Arial" w:hAnsi="Arial" w:cs="Arial"/>
          <w:color w:val="1F497D"/>
          <w:sz w:val="21"/>
          <w:szCs w:val="21"/>
          <w:lang w:val="fr-FR"/>
        </w:rPr>
      </w:pPr>
      <w:r w:rsidRPr="00605E46">
        <w:rPr>
          <w:rFonts w:ascii="Arial" w:hAnsi="Arial" w:cs="Arial"/>
          <w:color w:val="1F497D"/>
          <w:sz w:val="21"/>
          <w:szCs w:val="21"/>
          <w:lang w:val="fr-FR"/>
        </w:rPr>
        <w:t>Les réservations peuvent être effectuées sur le site Internet du transporteur</w:t>
      </w:r>
      <w:r w:rsidRPr="00605E46">
        <w:rPr>
          <w:rFonts w:ascii="Arial" w:hAnsi="Arial" w:cs="Arial"/>
          <w:b/>
          <w:bCs/>
          <w:color w:val="1F497D"/>
          <w:sz w:val="21"/>
          <w:szCs w:val="21"/>
          <w:lang w:val="fr-FR"/>
        </w:rPr>
        <w:t xml:space="preserve"> - airfrance.ca</w:t>
      </w:r>
      <w:r w:rsidRPr="00605E46">
        <w:rPr>
          <w:rFonts w:ascii="Arial" w:hAnsi="Arial" w:cs="Arial"/>
          <w:color w:val="1F497D"/>
          <w:sz w:val="21"/>
          <w:szCs w:val="21"/>
          <w:lang w:val="fr-FR"/>
        </w:rPr>
        <w:t xml:space="preserve"> -, par l’intermédiaire de son centre de réservations au 1 800 667 2747 ou par les agences de voyages.   </w:t>
      </w:r>
    </w:p>
    <w:p w:rsidR="008F6C40" w:rsidRPr="00605E46" w:rsidRDefault="008F6C40" w:rsidP="004A6260">
      <w:pPr>
        <w:widowControl/>
        <w:autoSpaceDE w:val="0"/>
        <w:autoSpaceDN w:val="0"/>
        <w:adjustRightInd w:val="0"/>
        <w:jc w:val="both"/>
        <w:rPr>
          <w:rFonts w:ascii="Arial" w:hAnsi="Arial" w:cs="Arial"/>
          <w:color w:val="1F497D"/>
          <w:sz w:val="21"/>
          <w:szCs w:val="21"/>
          <w:lang w:val="fr-FR"/>
        </w:rPr>
      </w:pPr>
    </w:p>
    <w:p w:rsidR="008F6C40" w:rsidRPr="00605E46" w:rsidRDefault="008F6C40" w:rsidP="004A6260">
      <w:pPr>
        <w:widowControl/>
        <w:autoSpaceDE w:val="0"/>
        <w:autoSpaceDN w:val="0"/>
        <w:adjustRightInd w:val="0"/>
        <w:jc w:val="both"/>
        <w:rPr>
          <w:rFonts w:ascii="Arial" w:hAnsi="Arial" w:cs="Arial"/>
          <w:color w:val="1F497D"/>
          <w:sz w:val="21"/>
          <w:szCs w:val="21"/>
          <w:lang w:val="fr-FR"/>
        </w:rPr>
      </w:pPr>
      <w:r w:rsidRPr="00605E46">
        <w:rPr>
          <w:rFonts w:ascii="Arial" w:hAnsi="Arial" w:cs="Arial"/>
          <w:color w:val="1F497D"/>
          <w:sz w:val="21"/>
          <w:szCs w:val="21"/>
          <w:lang w:val="fr-FR"/>
        </w:rPr>
        <w:t xml:space="preserve">Ces tarifs sont offerts pour les départs de Montréal, Toronto et Ottawa.  Ils sont également disponibles pour les vols en Airbus A380 de Montréal les lundis, mercredis, samedis et dimanches jusqu’au 27 octobre 2012.  À bord, le repas, le petit-déjeuner ou la collation ainsi que les boissons avec ou sans alcool sont proposés gratuitement dans toutes les classes de voyage.   </w:t>
      </w:r>
    </w:p>
    <w:p w:rsidR="008F6C40" w:rsidRPr="00605E46" w:rsidRDefault="008F6C40" w:rsidP="00614348">
      <w:pPr>
        <w:jc w:val="both"/>
        <w:rPr>
          <w:rFonts w:ascii="Arial" w:hAnsi="Arial" w:cs="Arial"/>
          <w:color w:val="1F497D"/>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8"/>
        <w:gridCol w:w="1890"/>
        <w:gridCol w:w="2070"/>
      </w:tblGrid>
      <w:tr w:rsidR="008F6C40" w:rsidRPr="00605E46" w:rsidTr="00F112AE">
        <w:tc>
          <w:tcPr>
            <w:tcW w:w="5868" w:type="dxa"/>
          </w:tcPr>
          <w:p w:rsidR="008F6C40" w:rsidRPr="00605E46" w:rsidRDefault="008F6C40" w:rsidP="00F112AE">
            <w:pPr>
              <w:jc w:val="center"/>
              <w:rPr>
                <w:rFonts w:ascii="Arial" w:hAnsi="Arial" w:cs="Arial"/>
                <w:b/>
                <w:color w:val="1F497D"/>
              </w:rPr>
            </w:pPr>
            <w:r w:rsidRPr="00605E46">
              <w:rPr>
                <w:rFonts w:ascii="Arial" w:hAnsi="Arial" w:cs="Arial"/>
                <w:b/>
                <w:color w:val="1F497D"/>
              </w:rPr>
              <w:t>Conditions</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t>Voyageur</w:t>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t>Premium Voyageur</w:t>
            </w:r>
          </w:p>
        </w:tc>
      </w:tr>
      <w:tr w:rsidR="008F6C40" w:rsidRPr="00605E46" w:rsidTr="00F112AE">
        <w:tc>
          <w:tcPr>
            <w:tcW w:w="5868" w:type="dxa"/>
          </w:tcPr>
          <w:p w:rsidR="008F6C40" w:rsidRPr="00605E46" w:rsidRDefault="008F6C40" w:rsidP="00256704">
            <w:pPr>
              <w:rPr>
                <w:rFonts w:ascii="Arial" w:hAnsi="Arial" w:cs="Arial"/>
                <w:color w:val="1F497D"/>
              </w:rPr>
            </w:pPr>
            <w:r w:rsidRPr="00605E46">
              <w:rPr>
                <w:rFonts w:ascii="Arial" w:hAnsi="Arial" w:cs="Arial"/>
                <w:color w:val="1F497D"/>
              </w:rPr>
              <w:t>Arrêt gratuit à Paris à l’aller ou au retour</w:t>
            </w:r>
          </w:p>
        </w:tc>
        <w:tc>
          <w:tcPr>
            <w:tcW w:w="1890" w:type="dxa"/>
          </w:tcPr>
          <w:p w:rsidR="008F6C40" w:rsidRPr="00605E46" w:rsidRDefault="008F6C40" w:rsidP="00B20A06">
            <w:pPr>
              <w:jc w:val="center"/>
              <w:rPr>
                <w:rFonts w:ascii="Arial" w:hAnsi="Arial" w:cs="Arial"/>
                <w:b/>
                <w:color w:val="1F497D"/>
              </w:rPr>
            </w:pPr>
            <w:r w:rsidRPr="00605E46">
              <w:rPr>
                <w:rFonts w:ascii="Arial" w:hAnsi="Arial" w:cs="Arial"/>
                <w:b/>
                <w:color w:val="1F497D"/>
              </w:rPr>
              <w:t>1</w:t>
            </w:r>
          </w:p>
        </w:tc>
        <w:tc>
          <w:tcPr>
            <w:tcW w:w="2070" w:type="dxa"/>
          </w:tcPr>
          <w:p w:rsidR="008F6C40" w:rsidRPr="00605E46" w:rsidRDefault="008F6C40" w:rsidP="00F112AE">
            <w:pPr>
              <w:jc w:val="center"/>
              <w:rPr>
                <w:rFonts w:ascii="Arial" w:hAnsi="Arial" w:cs="Arial"/>
                <w:b/>
                <w:color w:val="1F497D"/>
              </w:rPr>
            </w:pPr>
            <w:r>
              <w:rPr>
                <w:rFonts w:ascii="Arial" w:hAnsi="Arial" w:cs="Arial"/>
                <w:b/>
                <w:color w:val="1F497D"/>
              </w:rPr>
              <w:t>2</w:t>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Séjour minimum à destination: un samedi soir</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Séjour maximum</w:t>
            </w:r>
          </w:p>
        </w:tc>
        <w:tc>
          <w:tcPr>
            <w:tcW w:w="1890" w:type="dxa"/>
          </w:tcPr>
          <w:p w:rsidR="008F6C40" w:rsidRPr="00605E46" w:rsidRDefault="008F6C40" w:rsidP="00F112AE">
            <w:pPr>
              <w:jc w:val="center"/>
              <w:rPr>
                <w:rFonts w:ascii="Arial" w:hAnsi="Arial" w:cs="Arial"/>
                <w:color w:val="1F497D"/>
              </w:rPr>
            </w:pPr>
            <w:r w:rsidRPr="00605E46">
              <w:rPr>
                <w:rFonts w:ascii="Arial" w:hAnsi="Arial" w:cs="Arial"/>
                <w:color w:val="1F497D"/>
              </w:rPr>
              <w:t>3 mois</w:t>
            </w:r>
          </w:p>
        </w:tc>
        <w:tc>
          <w:tcPr>
            <w:tcW w:w="2070" w:type="dxa"/>
          </w:tcPr>
          <w:p w:rsidR="008F6C40" w:rsidRPr="00605E46" w:rsidRDefault="008F6C40" w:rsidP="00F112AE">
            <w:pPr>
              <w:jc w:val="center"/>
              <w:rPr>
                <w:rFonts w:ascii="Arial" w:hAnsi="Arial" w:cs="Arial"/>
                <w:color w:val="1F497D"/>
              </w:rPr>
            </w:pPr>
            <w:r w:rsidRPr="00605E46">
              <w:rPr>
                <w:rFonts w:ascii="Arial" w:hAnsi="Arial" w:cs="Arial"/>
                <w:color w:val="1F497D"/>
              </w:rPr>
              <w:t>12 mois</w:t>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Non remboursable</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Achat doit s’effectuer un minimum de 7 jours avant le départ</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Tarifs applicables aux nouvelles réservations uniquement</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Nombre de sièges limité</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Modification avant départ: 250$ + différence tarifaire s’il y a lieu</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Modification après départ: 250$ + différence tarifaire s’il y a lieu</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Supplément pour les vols les vendredis et samedis (par sens)</w:t>
            </w:r>
          </w:p>
        </w:tc>
        <w:tc>
          <w:tcPr>
            <w:tcW w:w="1890" w:type="dxa"/>
          </w:tcPr>
          <w:p w:rsidR="008F6C40" w:rsidRPr="00605E46" w:rsidRDefault="008F6C40" w:rsidP="00F112AE">
            <w:pPr>
              <w:jc w:val="center"/>
              <w:rPr>
                <w:rFonts w:ascii="Arial" w:hAnsi="Arial" w:cs="Arial"/>
                <w:color w:val="1F497D"/>
              </w:rPr>
            </w:pPr>
            <w:r w:rsidRPr="00605E46">
              <w:rPr>
                <w:rFonts w:ascii="Arial" w:hAnsi="Arial" w:cs="Arial"/>
                <w:color w:val="1F497D"/>
              </w:rPr>
              <w:t>30 $</w:t>
            </w:r>
          </w:p>
        </w:tc>
        <w:tc>
          <w:tcPr>
            <w:tcW w:w="2070" w:type="dxa"/>
          </w:tcPr>
          <w:p w:rsidR="008F6C40" w:rsidRPr="00605E46" w:rsidRDefault="008F6C40" w:rsidP="00F112AE">
            <w:pPr>
              <w:jc w:val="center"/>
              <w:rPr>
                <w:rFonts w:ascii="Arial" w:hAnsi="Arial" w:cs="Arial"/>
                <w:color w:val="1F497D"/>
              </w:rPr>
            </w:pPr>
            <w:r w:rsidRPr="00605E46">
              <w:rPr>
                <w:rFonts w:ascii="Arial" w:hAnsi="Arial" w:cs="Arial"/>
                <w:color w:val="1F497D"/>
              </w:rPr>
              <w:t>40 $</w:t>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Promotion en vigueur jusqu’au 18 septembre 2012</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Selon la période, tarifs offerts à compter de :</w:t>
            </w:r>
          </w:p>
          <w:p w:rsidR="008F6C40" w:rsidRPr="00605E46" w:rsidRDefault="008F6C40" w:rsidP="00F112AE">
            <w:pPr>
              <w:jc w:val="both"/>
              <w:rPr>
                <w:rFonts w:ascii="Arial" w:hAnsi="Arial" w:cs="Arial"/>
                <w:color w:val="1F497D"/>
              </w:rPr>
            </w:pPr>
            <w:r w:rsidRPr="00605E46">
              <w:rPr>
                <w:rFonts w:ascii="Arial" w:hAnsi="Arial" w:cs="Arial"/>
                <w:color w:val="1F497D"/>
              </w:rPr>
              <w:t>11 septembre au 15 octobre 2012</w:t>
            </w:r>
          </w:p>
          <w:p w:rsidR="008F6C40" w:rsidRPr="00605E46" w:rsidRDefault="008F6C40" w:rsidP="00F112AE">
            <w:pPr>
              <w:jc w:val="both"/>
              <w:rPr>
                <w:rFonts w:ascii="Arial" w:hAnsi="Arial" w:cs="Arial"/>
                <w:b/>
                <w:color w:val="1F497D"/>
              </w:rPr>
            </w:pPr>
            <w:r w:rsidRPr="00605E46">
              <w:rPr>
                <w:rFonts w:ascii="Arial" w:hAnsi="Arial" w:cs="Arial"/>
                <w:b/>
                <w:color w:val="1F497D"/>
              </w:rPr>
              <w:t>16 octobre au 10 décembre 2012</w:t>
            </w:r>
          </w:p>
          <w:p w:rsidR="008F6C40" w:rsidRPr="00605E46" w:rsidRDefault="008F6C40" w:rsidP="00F112AE">
            <w:pPr>
              <w:jc w:val="both"/>
              <w:rPr>
                <w:rFonts w:ascii="Arial" w:hAnsi="Arial" w:cs="Arial"/>
                <w:b/>
                <w:color w:val="1F497D"/>
              </w:rPr>
            </w:pPr>
            <w:r w:rsidRPr="00605E46">
              <w:rPr>
                <w:rFonts w:ascii="Arial" w:hAnsi="Arial" w:cs="Arial"/>
                <w:b/>
                <w:color w:val="1F497D"/>
              </w:rPr>
              <w:t>16 octobre au 14 décembre 2012</w:t>
            </w:r>
          </w:p>
          <w:p w:rsidR="008F6C40" w:rsidRPr="00605E46" w:rsidRDefault="008F6C40" w:rsidP="00F112AE">
            <w:pPr>
              <w:jc w:val="both"/>
              <w:rPr>
                <w:rFonts w:ascii="Arial" w:hAnsi="Arial" w:cs="Arial"/>
                <w:color w:val="1F497D"/>
              </w:rPr>
            </w:pPr>
            <w:r w:rsidRPr="00605E46">
              <w:rPr>
                <w:rFonts w:ascii="Arial" w:hAnsi="Arial" w:cs="Arial"/>
                <w:color w:val="1F497D"/>
              </w:rPr>
              <w:t>11 décembre au 23 décembre 2012</w:t>
            </w:r>
          </w:p>
          <w:p w:rsidR="008F6C40" w:rsidRPr="00605E46" w:rsidRDefault="008F6C40" w:rsidP="00F112AE">
            <w:pPr>
              <w:jc w:val="both"/>
              <w:rPr>
                <w:rFonts w:ascii="Arial" w:hAnsi="Arial" w:cs="Arial"/>
                <w:color w:val="1F497D"/>
              </w:rPr>
            </w:pPr>
            <w:r w:rsidRPr="00605E46">
              <w:rPr>
                <w:rFonts w:ascii="Arial" w:hAnsi="Arial" w:cs="Arial"/>
                <w:color w:val="1F497D"/>
              </w:rPr>
              <w:t>15 décembre au 24 décembre 2012</w:t>
            </w:r>
          </w:p>
          <w:p w:rsidR="008F6C40" w:rsidRPr="00605E46" w:rsidRDefault="008F6C40" w:rsidP="00F112AE">
            <w:pPr>
              <w:jc w:val="both"/>
              <w:rPr>
                <w:rFonts w:ascii="Arial" w:hAnsi="Arial" w:cs="Arial"/>
                <w:b/>
                <w:color w:val="1F497D"/>
              </w:rPr>
            </w:pPr>
            <w:r w:rsidRPr="00605E46">
              <w:rPr>
                <w:rFonts w:ascii="Arial" w:hAnsi="Arial" w:cs="Arial"/>
                <w:b/>
                <w:color w:val="1F497D"/>
              </w:rPr>
              <w:t>25 décembre 2012 au 6 mai 2013</w:t>
            </w:r>
          </w:p>
          <w:p w:rsidR="008F6C40" w:rsidRPr="00605E46" w:rsidRDefault="008F6C40" w:rsidP="00F112AE">
            <w:pPr>
              <w:jc w:val="both"/>
              <w:rPr>
                <w:rFonts w:ascii="Arial" w:hAnsi="Arial" w:cs="Arial"/>
                <w:color w:val="1F497D"/>
              </w:rPr>
            </w:pPr>
            <w:r w:rsidRPr="00605E46">
              <w:rPr>
                <w:rFonts w:ascii="Arial" w:hAnsi="Arial" w:cs="Arial"/>
                <w:color w:val="1F497D"/>
              </w:rPr>
              <w:t>7 mai au 18 juin 2013</w:t>
            </w:r>
          </w:p>
        </w:tc>
        <w:tc>
          <w:tcPr>
            <w:tcW w:w="1890" w:type="dxa"/>
          </w:tcPr>
          <w:p w:rsidR="008F6C40" w:rsidRPr="00605E46" w:rsidRDefault="008F6C40" w:rsidP="00F112AE">
            <w:pPr>
              <w:jc w:val="center"/>
              <w:rPr>
                <w:rFonts w:ascii="Arial" w:hAnsi="Arial" w:cs="Arial"/>
                <w:b/>
                <w:color w:val="1F497D"/>
              </w:rPr>
            </w:pPr>
          </w:p>
          <w:p w:rsidR="008F6C40" w:rsidRPr="00605E46" w:rsidRDefault="008F6C40" w:rsidP="00D424AE">
            <w:pPr>
              <w:rPr>
                <w:rFonts w:ascii="Arial" w:hAnsi="Arial" w:cs="Arial"/>
                <w:color w:val="1F497D"/>
              </w:rPr>
            </w:pPr>
            <w:r w:rsidRPr="00605E46">
              <w:rPr>
                <w:rFonts w:ascii="Arial" w:hAnsi="Arial" w:cs="Arial"/>
                <w:b/>
                <w:color w:val="1F497D"/>
              </w:rPr>
              <w:t xml:space="preserve">           </w:t>
            </w:r>
            <w:r w:rsidRPr="00605E46">
              <w:rPr>
                <w:rFonts w:ascii="Arial" w:hAnsi="Arial" w:cs="Arial"/>
                <w:color w:val="1F497D"/>
              </w:rPr>
              <w:t>899 $</w:t>
            </w:r>
          </w:p>
          <w:p w:rsidR="008F6C40" w:rsidRPr="00605E46" w:rsidRDefault="008F6C40" w:rsidP="00F112AE">
            <w:pPr>
              <w:jc w:val="center"/>
              <w:rPr>
                <w:rFonts w:ascii="Arial" w:hAnsi="Arial" w:cs="Arial"/>
                <w:b/>
                <w:color w:val="1F497D"/>
              </w:rPr>
            </w:pPr>
          </w:p>
          <w:p w:rsidR="008F6C40" w:rsidRPr="00605E46" w:rsidRDefault="008F6C40" w:rsidP="00F112AE">
            <w:pPr>
              <w:jc w:val="center"/>
              <w:rPr>
                <w:rFonts w:ascii="Arial" w:hAnsi="Arial" w:cs="Arial"/>
                <w:b/>
                <w:color w:val="1F497D"/>
              </w:rPr>
            </w:pPr>
            <w:r w:rsidRPr="00605E46">
              <w:rPr>
                <w:rFonts w:ascii="Arial" w:hAnsi="Arial" w:cs="Arial"/>
                <w:b/>
                <w:color w:val="1F497D"/>
              </w:rPr>
              <w:t>799 $</w:t>
            </w:r>
          </w:p>
          <w:p w:rsidR="008F6C40" w:rsidRPr="00605E46" w:rsidRDefault="008F6C40" w:rsidP="00F112AE">
            <w:pPr>
              <w:jc w:val="center"/>
              <w:rPr>
                <w:rFonts w:ascii="Arial" w:hAnsi="Arial" w:cs="Arial"/>
                <w:b/>
                <w:color w:val="1F497D"/>
              </w:rPr>
            </w:pPr>
          </w:p>
          <w:p w:rsidR="008F6C40" w:rsidRPr="00605E46" w:rsidRDefault="008F6C40" w:rsidP="00F112AE">
            <w:pPr>
              <w:jc w:val="center"/>
              <w:rPr>
                <w:rFonts w:ascii="Arial" w:hAnsi="Arial" w:cs="Arial"/>
                <w:color w:val="1F497D"/>
              </w:rPr>
            </w:pPr>
            <w:r w:rsidRPr="00605E46">
              <w:rPr>
                <w:rFonts w:ascii="Arial" w:hAnsi="Arial" w:cs="Arial"/>
                <w:color w:val="1F497D"/>
              </w:rPr>
              <w:t>899 $</w:t>
            </w:r>
          </w:p>
          <w:p w:rsidR="008F6C40" w:rsidRPr="00605E46" w:rsidRDefault="008F6C40" w:rsidP="00F112AE">
            <w:pPr>
              <w:jc w:val="center"/>
              <w:rPr>
                <w:rFonts w:ascii="Arial" w:hAnsi="Arial" w:cs="Arial"/>
                <w:b/>
                <w:color w:val="1F497D"/>
              </w:rPr>
            </w:pPr>
            <w:r w:rsidRPr="00605E46">
              <w:rPr>
                <w:rFonts w:ascii="Arial" w:hAnsi="Arial" w:cs="Arial"/>
                <w:b/>
                <w:color w:val="1F497D"/>
              </w:rPr>
              <w:t>799 $</w:t>
            </w:r>
          </w:p>
          <w:p w:rsidR="008F6C40" w:rsidRPr="00605E46" w:rsidRDefault="008F6C40" w:rsidP="00F112AE">
            <w:pPr>
              <w:jc w:val="center"/>
              <w:rPr>
                <w:rFonts w:ascii="Arial" w:hAnsi="Arial" w:cs="Arial"/>
                <w:color w:val="1F497D"/>
              </w:rPr>
            </w:pPr>
            <w:r w:rsidRPr="00605E46">
              <w:rPr>
                <w:rFonts w:ascii="Arial" w:hAnsi="Arial" w:cs="Arial"/>
                <w:color w:val="1F497D"/>
              </w:rPr>
              <w:t>899 $</w:t>
            </w:r>
          </w:p>
        </w:tc>
        <w:tc>
          <w:tcPr>
            <w:tcW w:w="2070" w:type="dxa"/>
          </w:tcPr>
          <w:p w:rsidR="008F6C40" w:rsidRPr="00605E46" w:rsidRDefault="008F6C40" w:rsidP="00F112AE">
            <w:pPr>
              <w:jc w:val="center"/>
              <w:rPr>
                <w:rFonts w:ascii="Arial" w:hAnsi="Arial" w:cs="Arial"/>
                <w:b/>
                <w:color w:val="1F497D"/>
              </w:rPr>
            </w:pPr>
          </w:p>
          <w:p w:rsidR="008F6C40" w:rsidRPr="00605E46" w:rsidRDefault="008F6C40" w:rsidP="00D424AE">
            <w:pPr>
              <w:rPr>
                <w:rFonts w:ascii="Arial" w:hAnsi="Arial" w:cs="Arial"/>
                <w:color w:val="1F497D"/>
              </w:rPr>
            </w:pPr>
            <w:r w:rsidRPr="00605E46">
              <w:rPr>
                <w:rFonts w:ascii="Arial" w:hAnsi="Arial" w:cs="Arial"/>
                <w:b/>
                <w:color w:val="1F497D"/>
              </w:rPr>
              <w:t xml:space="preserve">           </w:t>
            </w:r>
            <w:r w:rsidRPr="00605E46">
              <w:rPr>
                <w:rFonts w:ascii="Arial" w:hAnsi="Arial" w:cs="Arial"/>
                <w:color w:val="1F497D"/>
              </w:rPr>
              <w:t>1 349 $</w:t>
            </w:r>
          </w:p>
          <w:p w:rsidR="008F6C40" w:rsidRPr="00605E46" w:rsidRDefault="008F6C40" w:rsidP="00F112AE">
            <w:pPr>
              <w:jc w:val="center"/>
              <w:rPr>
                <w:rFonts w:ascii="Arial" w:hAnsi="Arial" w:cs="Arial"/>
                <w:b/>
                <w:color w:val="1F497D"/>
              </w:rPr>
            </w:pPr>
            <w:r w:rsidRPr="00605E46">
              <w:rPr>
                <w:rFonts w:ascii="Arial" w:hAnsi="Arial" w:cs="Arial"/>
                <w:b/>
                <w:color w:val="1F497D"/>
              </w:rPr>
              <w:t>1 249 $</w:t>
            </w:r>
          </w:p>
          <w:p w:rsidR="008F6C40" w:rsidRPr="00605E46" w:rsidRDefault="008F6C40" w:rsidP="00F112AE">
            <w:pPr>
              <w:jc w:val="center"/>
              <w:rPr>
                <w:rFonts w:ascii="Arial" w:hAnsi="Arial" w:cs="Arial"/>
                <w:b/>
                <w:color w:val="1F497D"/>
              </w:rPr>
            </w:pPr>
          </w:p>
          <w:p w:rsidR="008F6C40" w:rsidRPr="00605E46" w:rsidRDefault="008F6C40" w:rsidP="00F112AE">
            <w:pPr>
              <w:jc w:val="center"/>
              <w:rPr>
                <w:rFonts w:ascii="Arial" w:hAnsi="Arial" w:cs="Arial"/>
                <w:color w:val="1F497D"/>
              </w:rPr>
            </w:pPr>
            <w:r w:rsidRPr="00605E46">
              <w:rPr>
                <w:rFonts w:ascii="Arial" w:hAnsi="Arial" w:cs="Arial"/>
                <w:color w:val="1F497D"/>
              </w:rPr>
              <w:t>1 349 $</w:t>
            </w:r>
          </w:p>
          <w:p w:rsidR="008F6C40" w:rsidRPr="00605E46" w:rsidRDefault="008F6C40" w:rsidP="00F112AE">
            <w:pPr>
              <w:jc w:val="center"/>
              <w:rPr>
                <w:rFonts w:ascii="Arial" w:hAnsi="Arial" w:cs="Arial"/>
                <w:b/>
                <w:color w:val="1F497D"/>
              </w:rPr>
            </w:pPr>
          </w:p>
          <w:p w:rsidR="008F6C40" w:rsidRPr="00605E46" w:rsidRDefault="008F6C40" w:rsidP="00F112AE">
            <w:pPr>
              <w:jc w:val="center"/>
              <w:rPr>
                <w:rFonts w:ascii="Arial" w:hAnsi="Arial" w:cs="Arial"/>
                <w:b/>
                <w:color w:val="1F497D"/>
              </w:rPr>
            </w:pPr>
            <w:r w:rsidRPr="00605E46">
              <w:rPr>
                <w:rFonts w:ascii="Arial" w:hAnsi="Arial" w:cs="Arial"/>
                <w:b/>
                <w:color w:val="1F497D"/>
              </w:rPr>
              <w:t>1 249 $</w:t>
            </w:r>
          </w:p>
          <w:p w:rsidR="008F6C40" w:rsidRPr="00605E46" w:rsidRDefault="008F6C40" w:rsidP="00F112AE">
            <w:pPr>
              <w:jc w:val="center"/>
              <w:rPr>
                <w:rFonts w:ascii="Arial" w:hAnsi="Arial" w:cs="Arial"/>
                <w:color w:val="1F497D"/>
              </w:rPr>
            </w:pPr>
            <w:r w:rsidRPr="00605E46">
              <w:rPr>
                <w:rFonts w:ascii="Arial" w:hAnsi="Arial" w:cs="Arial"/>
                <w:color w:val="1F497D"/>
              </w:rPr>
              <w:t>1 349 $</w:t>
            </w:r>
          </w:p>
        </w:tc>
      </w:tr>
      <w:tr w:rsidR="008F6C40" w:rsidRPr="00605E46" w:rsidTr="00F112AE">
        <w:tc>
          <w:tcPr>
            <w:tcW w:w="5868" w:type="dxa"/>
          </w:tcPr>
          <w:p w:rsidR="008F6C40" w:rsidRPr="00605E46" w:rsidRDefault="008F6C40" w:rsidP="00F112AE">
            <w:pPr>
              <w:jc w:val="both"/>
              <w:rPr>
                <w:rFonts w:ascii="Arial" w:hAnsi="Arial" w:cs="Arial"/>
                <w:color w:val="1F497D"/>
              </w:rPr>
            </w:pPr>
            <w:r w:rsidRPr="00605E46">
              <w:rPr>
                <w:rFonts w:ascii="Arial" w:hAnsi="Arial" w:cs="Arial"/>
                <w:color w:val="1F497D"/>
              </w:rPr>
              <w:t>D’autres conditions peuvent s’appliquer</w:t>
            </w:r>
          </w:p>
        </w:tc>
        <w:tc>
          <w:tcPr>
            <w:tcW w:w="189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c>
          <w:tcPr>
            <w:tcW w:w="2070" w:type="dxa"/>
          </w:tcPr>
          <w:p w:rsidR="008F6C40" w:rsidRPr="00605E46" w:rsidRDefault="008F6C40" w:rsidP="00F112AE">
            <w:pPr>
              <w:jc w:val="center"/>
              <w:rPr>
                <w:rFonts w:ascii="Arial" w:hAnsi="Arial" w:cs="Arial"/>
                <w:b/>
                <w:color w:val="1F497D"/>
              </w:rPr>
            </w:pPr>
            <w:r w:rsidRPr="00605E46">
              <w:rPr>
                <w:rFonts w:ascii="Arial" w:hAnsi="Arial" w:cs="Arial"/>
                <w:b/>
                <w:color w:val="1F497D"/>
              </w:rPr>
              <w:sym w:font="Symbol" w:char="F0D6"/>
            </w:r>
          </w:p>
        </w:tc>
      </w:tr>
    </w:tbl>
    <w:p w:rsidR="008F6C40" w:rsidRPr="00605E46" w:rsidRDefault="008F6C40" w:rsidP="00614348">
      <w:pPr>
        <w:jc w:val="both"/>
        <w:rPr>
          <w:rFonts w:ascii="Arial" w:hAnsi="Arial" w:cs="Arial"/>
          <w:color w:val="1F497D"/>
        </w:rPr>
      </w:pPr>
    </w:p>
    <w:p w:rsidR="008F6C40" w:rsidRPr="00605E46" w:rsidRDefault="008F6C40" w:rsidP="00C03B34">
      <w:pPr>
        <w:shd w:val="clear" w:color="auto" w:fill="FFFFFF"/>
        <w:jc w:val="center"/>
        <w:rPr>
          <w:rFonts w:ascii="Arial" w:hAnsi="Arial" w:cs="Arial"/>
          <w:color w:val="1F497D"/>
        </w:rPr>
      </w:pPr>
      <w:r w:rsidRPr="00605E46">
        <w:rPr>
          <w:rFonts w:ascii="Arial" w:hAnsi="Arial" w:cs="Arial"/>
          <w:color w:val="1F497D"/>
        </w:rPr>
        <w:t>-30 -</w:t>
      </w:r>
    </w:p>
    <w:bookmarkEnd w:id="0"/>
    <w:bookmarkEnd w:id="1"/>
    <w:bookmarkEnd w:id="2"/>
    <w:bookmarkEnd w:id="3"/>
    <w:p w:rsidR="008F6C40" w:rsidRPr="00605E46" w:rsidRDefault="008F6C40" w:rsidP="00BB2E8C">
      <w:pPr>
        <w:pStyle w:val="BodyText3"/>
        <w:widowControl/>
        <w:rPr>
          <w:rFonts w:ascii="Arial" w:hAnsi="Arial" w:cs="Arial"/>
          <w:b w:val="0"/>
          <w:color w:val="1F497D"/>
        </w:rPr>
      </w:pPr>
      <w:r w:rsidRPr="00605E46">
        <w:rPr>
          <w:rFonts w:ascii="Arial" w:hAnsi="Arial" w:cs="Arial"/>
          <w:b w:val="0"/>
          <w:color w:val="1F497D"/>
        </w:rPr>
        <w:t>Renseignements :</w:t>
      </w:r>
      <w:r w:rsidRPr="00605E46">
        <w:rPr>
          <w:rFonts w:ascii="Arial" w:hAnsi="Arial" w:cs="Arial"/>
          <w:b w:val="0"/>
          <w:color w:val="1F497D"/>
        </w:rPr>
        <w:tab/>
        <w:t>Diane Audet</w:t>
      </w:r>
    </w:p>
    <w:p w:rsidR="008F6C40" w:rsidRPr="00605E46" w:rsidRDefault="008F6C40" w:rsidP="00BB2E8C">
      <w:pPr>
        <w:pStyle w:val="BodyText3"/>
        <w:widowControl/>
        <w:ind w:left="1440" w:firstLine="720"/>
        <w:rPr>
          <w:rFonts w:ascii="Arial" w:hAnsi="Arial" w:cs="Arial"/>
          <w:b w:val="0"/>
          <w:color w:val="1F497D"/>
        </w:rPr>
      </w:pPr>
      <w:r w:rsidRPr="00605E46">
        <w:rPr>
          <w:rFonts w:ascii="Arial" w:hAnsi="Arial" w:cs="Arial"/>
          <w:b w:val="0"/>
          <w:color w:val="1F497D"/>
        </w:rPr>
        <w:t>(514) 847-5011</w:t>
      </w:r>
    </w:p>
    <w:p w:rsidR="008F6C40" w:rsidRPr="00605E46" w:rsidRDefault="008F6C40" w:rsidP="00BB2E8C">
      <w:pPr>
        <w:pStyle w:val="BodyText3"/>
        <w:widowControl/>
        <w:rPr>
          <w:rFonts w:ascii="Arial" w:hAnsi="Arial" w:cs="Arial"/>
          <w:color w:val="1F497D"/>
        </w:rPr>
      </w:pPr>
      <w:r w:rsidRPr="00605E46">
        <w:rPr>
          <w:rFonts w:ascii="Arial" w:hAnsi="Arial" w:cs="Arial"/>
          <w:color w:val="1F497D"/>
        </w:rPr>
        <w:tab/>
      </w:r>
      <w:r w:rsidRPr="00605E46">
        <w:rPr>
          <w:rFonts w:ascii="Arial" w:hAnsi="Arial" w:cs="Arial"/>
          <w:color w:val="1F497D"/>
        </w:rPr>
        <w:tab/>
      </w:r>
      <w:r w:rsidRPr="00605E46">
        <w:rPr>
          <w:rFonts w:ascii="Arial" w:hAnsi="Arial" w:cs="Arial"/>
          <w:color w:val="1F497D"/>
        </w:rPr>
        <w:tab/>
      </w:r>
      <w:hyperlink r:id="rId7" w:history="1">
        <w:r w:rsidRPr="00605E46">
          <w:rPr>
            <w:rStyle w:val="Hyperlink"/>
            <w:rFonts w:ascii="Arial" w:hAnsi="Arial" w:cs="Arial"/>
            <w:b w:val="0"/>
            <w:color w:val="1F497D"/>
            <w:u w:val="none"/>
          </w:rPr>
          <w:t>diaudet@airfrance.fr</w:t>
        </w:r>
      </w:hyperlink>
    </w:p>
    <w:p w:rsidR="008F6C40" w:rsidRPr="00605E46" w:rsidRDefault="008F6C40" w:rsidP="00575279">
      <w:pPr>
        <w:pStyle w:val="Footer"/>
        <w:tabs>
          <w:tab w:val="clear" w:pos="4320"/>
          <w:tab w:val="clear" w:pos="8640"/>
          <w:tab w:val="left" w:pos="1905"/>
        </w:tabs>
        <w:jc w:val="both"/>
        <w:rPr>
          <w:rFonts w:ascii="Arial" w:hAnsi="Arial" w:cs="Arial"/>
          <w:color w:val="1F497D"/>
        </w:rPr>
      </w:pPr>
    </w:p>
    <w:p w:rsidR="008F6C40" w:rsidRPr="00605E46" w:rsidRDefault="008F6C40">
      <w:pPr>
        <w:pStyle w:val="Footer"/>
        <w:jc w:val="center"/>
        <w:rPr>
          <w:rFonts w:ascii="Arial" w:hAnsi="Arial" w:cs="Arial"/>
          <w:color w:val="1F497D"/>
        </w:rPr>
      </w:pPr>
      <w:r w:rsidRPr="00605E46">
        <w:rPr>
          <w:rFonts w:ascii="Arial" w:hAnsi="Arial" w:cs="Arial"/>
          <w:color w:val="1F497D"/>
        </w:rPr>
        <w:t>2000, rue Mansfield, bureau 1510, Montréal (Québec)  H3A 3A3</w:t>
      </w:r>
    </w:p>
    <w:p w:rsidR="008F6C40" w:rsidRPr="00605E46" w:rsidRDefault="008F6C40" w:rsidP="00A50072">
      <w:pPr>
        <w:pStyle w:val="Footer"/>
        <w:jc w:val="center"/>
        <w:rPr>
          <w:rFonts w:ascii="Arial" w:hAnsi="Arial" w:cs="Arial"/>
          <w:b/>
          <w:color w:val="1F497D"/>
        </w:rPr>
      </w:pPr>
      <w:r w:rsidRPr="00605E46">
        <w:rPr>
          <w:rFonts w:ascii="Arial" w:hAnsi="Arial" w:cs="Arial"/>
          <w:b/>
          <w:color w:val="1F497D"/>
        </w:rPr>
        <w:t>www.airfrance.ca</w:t>
      </w:r>
    </w:p>
    <w:sectPr w:rsidR="008F6C40" w:rsidRPr="00605E46" w:rsidSect="00E44600">
      <w:headerReference w:type="default" r:id="rId8"/>
      <w:endnotePr>
        <w:numFmt w:val="decimal"/>
      </w:endnotePr>
      <w:pgSz w:w="12240" w:h="15840"/>
      <w:pgMar w:top="720" w:right="1152" w:bottom="360" w:left="129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C40" w:rsidRDefault="008F6C40">
      <w:r>
        <w:separator/>
      </w:r>
    </w:p>
  </w:endnote>
  <w:endnote w:type="continuationSeparator" w:id="0">
    <w:p w:rsidR="008F6C40" w:rsidRDefault="008F6C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C40" w:rsidRDefault="008F6C40">
      <w:r>
        <w:separator/>
      </w:r>
    </w:p>
  </w:footnote>
  <w:footnote w:type="continuationSeparator" w:id="0">
    <w:p w:rsidR="008F6C40" w:rsidRDefault="008F6C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C40" w:rsidRPr="00CD4E9A" w:rsidRDefault="008F6C40" w:rsidP="00CF57FA">
    <w:pPr>
      <w:pStyle w:val="Header"/>
      <w:jc w:val="right"/>
    </w:pPr>
    <w:r w:rsidRPr="0014513E">
      <w:rPr>
        <w:rFonts w:ascii="Tms Rmn" w:hAnsi="Tms Rmn"/>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1.5pt;height:24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2912014"/>
    <w:multiLevelType w:val="hybridMultilevel"/>
    <w:tmpl w:val="BF42FD02"/>
    <w:lvl w:ilvl="0" w:tplc="FFFFFFFF">
      <w:start w:val="1"/>
      <w:numFmt w:val="bullet"/>
      <w:lvlText w:val=""/>
      <w:legacy w:legacy="1" w:legacySpace="0" w:legacyIndent="283"/>
      <w:lvlJc w:val="left"/>
      <w:pPr>
        <w:ind w:left="643" w:hanging="283"/>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42E45849"/>
    <w:multiLevelType w:val="hybridMultilevel"/>
    <w:tmpl w:val="5D62FDA4"/>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C8F4027"/>
    <w:multiLevelType w:val="hybridMultilevel"/>
    <w:tmpl w:val="B732A4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81B4AA0"/>
    <w:multiLevelType w:val="hybridMultilevel"/>
    <w:tmpl w:val="3E48A4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F2A5F3C"/>
    <w:multiLevelType w:val="hybridMultilevel"/>
    <w:tmpl w:val="821022C2"/>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5BC2"/>
    <w:rsid w:val="000369BD"/>
    <w:rsid w:val="00040732"/>
    <w:rsid w:val="0004249F"/>
    <w:rsid w:val="00050AD4"/>
    <w:rsid w:val="00064675"/>
    <w:rsid w:val="00064CE7"/>
    <w:rsid w:val="0008122C"/>
    <w:rsid w:val="00097B48"/>
    <w:rsid w:val="000A7808"/>
    <w:rsid w:val="000B2907"/>
    <w:rsid w:val="000D1941"/>
    <w:rsid w:val="000F5DFD"/>
    <w:rsid w:val="0012603A"/>
    <w:rsid w:val="0014513E"/>
    <w:rsid w:val="0019328F"/>
    <w:rsid w:val="001A25AB"/>
    <w:rsid w:val="001C171C"/>
    <w:rsid w:val="001F1393"/>
    <w:rsid w:val="0020119E"/>
    <w:rsid w:val="00256704"/>
    <w:rsid w:val="002631E9"/>
    <w:rsid w:val="002918F7"/>
    <w:rsid w:val="002A10B5"/>
    <w:rsid w:val="002B1287"/>
    <w:rsid w:val="002F0142"/>
    <w:rsid w:val="002F75E0"/>
    <w:rsid w:val="00305423"/>
    <w:rsid w:val="0033299D"/>
    <w:rsid w:val="00332AE5"/>
    <w:rsid w:val="00335E7D"/>
    <w:rsid w:val="00341CAD"/>
    <w:rsid w:val="00345AD3"/>
    <w:rsid w:val="00346651"/>
    <w:rsid w:val="00366EAE"/>
    <w:rsid w:val="00375BC2"/>
    <w:rsid w:val="00396F8C"/>
    <w:rsid w:val="004035CD"/>
    <w:rsid w:val="00410F8B"/>
    <w:rsid w:val="004316EC"/>
    <w:rsid w:val="004A6260"/>
    <w:rsid w:val="004B1217"/>
    <w:rsid w:val="004B321C"/>
    <w:rsid w:val="004D3DDB"/>
    <w:rsid w:val="00513289"/>
    <w:rsid w:val="005201A8"/>
    <w:rsid w:val="00575279"/>
    <w:rsid w:val="00594B8C"/>
    <w:rsid w:val="005D2637"/>
    <w:rsid w:val="005E7343"/>
    <w:rsid w:val="005F3996"/>
    <w:rsid w:val="00605E46"/>
    <w:rsid w:val="00614348"/>
    <w:rsid w:val="0064398F"/>
    <w:rsid w:val="00655A2D"/>
    <w:rsid w:val="00674EDE"/>
    <w:rsid w:val="00720F54"/>
    <w:rsid w:val="007D4ABB"/>
    <w:rsid w:val="00805951"/>
    <w:rsid w:val="00831DDA"/>
    <w:rsid w:val="00846B32"/>
    <w:rsid w:val="00866E34"/>
    <w:rsid w:val="008A3035"/>
    <w:rsid w:val="008A4A20"/>
    <w:rsid w:val="008D4F14"/>
    <w:rsid w:val="008E13BD"/>
    <w:rsid w:val="008F6C40"/>
    <w:rsid w:val="00944EDD"/>
    <w:rsid w:val="009919A7"/>
    <w:rsid w:val="009F0657"/>
    <w:rsid w:val="00A10362"/>
    <w:rsid w:val="00A50072"/>
    <w:rsid w:val="00A97CD8"/>
    <w:rsid w:val="00AB640A"/>
    <w:rsid w:val="00AE1CC5"/>
    <w:rsid w:val="00B16395"/>
    <w:rsid w:val="00B20A06"/>
    <w:rsid w:val="00BB0805"/>
    <w:rsid w:val="00BB2E8C"/>
    <w:rsid w:val="00BB36FC"/>
    <w:rsid w:val="00BC0D7A"/>
    <w:rsid w:val="00BC1C27"/>
    <w:rsid w:val="00C03B34"/>
    <w:rsid w:val="00CA0CE6"/>
    <w:rsid w:val="00CD1255"/>
    <w:rsid w:val="00CD4E9A"/>
    <w:rsid w:val="00CD5593"/>
    <w:rsid w:val="00CF57FA"/>
    <w:rsid w:val="00D22B59"/>
    <w:rsid w:val="00D424AE"/>
    <w:rsid w:val="00DB19DD"/>
    <w:rsid w:val="00DF4336"/>
    <w:rsid w:val="00E10177"/>
    <w:rsid w:val="00E24BEA"/>
    <w:rsid w:val="00E44600"/>
    <w:rsid w:val="00E55184"/>
    <w:rsid w:val="00E913F9"/>
    <w:rsid w:val="00E91BD4"/>
    <w:rsid w:val="00EA19EE"/>
    <w:rsid w:val="00EB0F85"/>
    <w:rsid w:val="00ED1214"/>
    <w:rsid w:val="00F112AE"/>
    <w:rsid w:val="00F275F4"/>
    <w:rsid w:val="00F515E3"/>
    <w:rsid w:val="00F57BA4"/>
    <w:rsid w:val="00F736B2"/>
    <w:rsid w:val="00FC2A5D"/>
    <w:rsid w:val="00FE027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lang w:val="fr-CA" w:eastAsia="en-US"/>
    </w:rPr>
  </w:style>
  <w:style w:type="paragraph" w:styleId="Heading1">
    <w:name w:val="heading 1"/>
    <w:basedOn w:val="Normal"/>
    <w:next w:val="Normal"/>
    <w:link w:val="Heading1Char"/>
    <w:uiPriority w:val="9"/>
    <w:qFormat/>
    <w:pPr>
      <w:keepNext/>
      <w:outlineLvl w:val="0"/>
    </w:pPr>
    <w:rPr>
      <w:b/>
      <w:sz w:val="28"/>
    </w:rPr>
  </w:style>
  <w:style w:type="paragraph" w:styleId="Heading2">
    <w:name w:val="heading 2"/>
    <w:basedOn w:val="Normal"/>
    <w:next w:val="Normal"/>
    <w:link w:val="Heading2Char"/>
    <w:uiPriority w:val="9"/>
    <w:qFormat/>
    <w:pPr>
      <w:keepNext/>
      <w:outlineLvl w:val="1"/>
    </w:pPr>
    <w:rPr>
      <w:b/>
      <w:sz w:val="24"/>
    </w:rPr>
  </w:style>
  <w:style w:type="paragraph" w:styleId="Heading3">
    <w:name w:val="heading 3"/>
    <w:basedOn w:val="Normal"/>
    <w:next w:val="Normal"/>
    <w:link w:val="Heading3Char"/>
    <w:uiPriority w:val="9"/>
    <w:qFormat/>
    <w:pPr>
      <w:keepNext/>
      <w:jc w:val="center"/>
      <w:outlineLvl w:val="2"/>
    </w:pPr>
    <w:rPr>
      <w:rFonts w:ascii="Arial Black" w:hAnsi="Arial Black"/>
      <w:sz w:val="28"/>
    </w:rPr>
  </w:style>
  <w:style w:type="paragraph" w:styleId="Heading4">
    <w:name w:val="heading 4"/>
    <w:basedOn w:val="Normal"/>
    <w:next w:val="Normal"/>
    <w:link w:val="Heading4Char"/>
    <w:uiPriority w:val="9"/>
    <w:qFormat/>
    <w:pPr>
      <w:keepNext/>
      <w:outlineLvl w:val="3"/>
    </w:pPr>
    <w:rPr>
      <w:rFonts w:ascii="Arial Black" w:hAnsi="Arial Black"/>
      <w:sz w:val="24"/>
    </w:rPr>
  </w:style>
  <w:style w:type="paragraph" w:styleId="Heading5">
    <w:name w:val="heading 5"/>
    <w:basedOn w:val="Normal"/>
    <w:next w:val="Normal"/>
    <w:link w:val="Heading5Char"/>
    <w:uiPriority w:val="9"/>
    <w:qFormat/>
    <w:pPr>
      <w:keepNext/>
      <w:jc w:val="right"/>
      <w:outlineLvl w:val="4"/>
    </w:pPr>
    <w:rPr>
      <w:rFonts w:ascii="Arial Black" w:hAnsi="Arial Black"/>
      <w:sz w:val="24"/>
    </w:rPr>
  </w:style>
  <w:style w:type="paragraph" w:styleId="Heading6">
    <w:name w:val="heading 6"/>
    <w:basedOn w:val="Normal"/>
    <w:next w:val="Normal"/>
    <w:link w:val="Heading6Char"/>
    <w:uiPriority w:val="9"/>
    <w:qFormat/>
    <w:pPr>
      <w:keepNext/>
      <w:outlineLvl w:val="5"/>
    </w:pPr>
    <w:rPr>
      <w:b/>
      <w:bCs/>
      <w:sz w:val="32"/>
    </w:rPr>
  </w:style>
  <w:style w:type="paragraph" w:styleId="Heading7">
    <w:name w:val="heading 7"/>
    <w:basedOn w:val="Normal"/>
    <w:next w:val="Normal"/>
    <w:link w:val="Heading7Char"/>
    <w:uiPriority w:val="9"/>
    <w:qFormat/>
    <w:pPr>
      <w:keepNext/>
      <w:outlineLvl w:val="6"/>
    </w:pPr>
    <w:rPr>
      <w:rFonts w:ascii="Arial Black" w:hAnsi="Arial Black"/>
      <w:b/>
      <w:bCs/>
      <w:sz w:val="22"/>
    </w:rPr>
  </w:style>
  <w:style w:type="paragraph" w:styleId="Heading8">
    <w:name w:val="heading 8"/>
    <w:basedOn w:val="Normal"/>
    <w:next w:val="Normal"/>
    <w:link w:val="Heading8Char"/>
    <w:uiPriority w:val="9"/>
    <w:qFormat/>
    <w:pPr>
      <w:keepNext/>
      <w:jc w:val="both"/>
      <w:outlineLvl w:val="7"/>
    </w:pPr>
    <w:rPr>
      <w:rFonts w:ascii="Arial Black" w:hAnsi="Arial Black"/>
      <w:sz w:val="28"/>
    </w:rPr>
  </w:style>
  <w:style w:type="paragraph" w:styleId="Heading9">
    <w:name w:val="heading 9"/>
    <w:basedOn w:val="Normal"/>
    <w:next w:val="Normal"/>
    <w:link w:val="Heading9Char"/>
    <w:uiPriority w:val="9"/>
    <w:qFormat/>
    <w:pPr>
      <w:keepNext/>
      <w:jc w:val="both"/>
      <w:outlineLvl w:val="8"/>
    </w:pPr>
    <w:rPr>
      <w:rFonts w:ascii="Arial Black" w:hAnsi="Arial Black"/>
      <w:b/>
      <w:sz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16D"/>
    <w:rPr>
      <w:rFonts w:asciiTheme="majorHAnsi" w:eastAsiaTheme="majorEastAsia" w:hAnsiTheme="majorHAnsi" w:cstheme="majorBidi"/>
      <w:b/>
      <w:bCs/>
      <w:kern w:val="32"/>
      <w:sz w:val="32"/>
      <w:szCs w:val="32"/>
      <w:lang w:val="fr-CA" w:eastAsia="en-US"/>
    </w:rPr>
  </w:style>
  <w:style w:type="character" w:customStyle="1" w:styleId="Heading2Char">
    <w:name w:val="Heading 2 Char"/>
    <w:basedOn w:val="DefaultParagraphFont"/>
    <w:link w:val="Heading2"/>
    <w:uiPriority w:val="9"/>
    <w:semiHidden/>
    <w:rsid w:val="0046416D"/>
    <w:rPr>
      <w:rFonts w:asciiTheme="majorHAnsi" w:eastAsiaTheme="majorEastAsia" w:hAnsiTheme="majorHAnsi" w:cstheme="majorBidi"/>
      <w:b/>
      <w:bCs/>
      <w:i/>
      <w:iCs/>
      <w:sz w:val="28"/>
      <w:szCs w:val="28"/>
      <w:lang w:val="fr-CA" w:eastAsia="en-US"/>
    </w:rPr>
  </w:style>
  <w:style w:type="character" w:customStyle="1" w:styleId="Heading3Char">
    <w:name w:val="Heading 3 Char"/>
    <w:basedOn w:val="DefaultParagraphFont"/>
    <w:link w:val="Heading3"/>
    <w:uiPriority w:val="9"/>
    <w:semiHidden/>
    <w:rsid w:val="0046416D"/>
    <w:rPr>
      <w:rFonts w:asciiTheme="majorHAnsi" w:eastAsiaTheme="majorEastAsia" w:hAnsiTheme="majorHAnsi" w:cstheme="majorBidi"/>
      <w:b/>
      <w:bCs/>
      <w:sz w:val="26"/>
      <w:szCs w:val="26"/>
      <w:lang w:val="fr-CA" w:eastAsia="en-US"/>
    </w:rPr>
  </w:style>
  <w:style w:type="character" w:customStyle="1" w:styleId="Heading4Char">
    <w:name w:val="Heading 4 Char"/>
    <w:basedOn w:val="DefaultParagraphFont"/>
    <w:link w:val="Heading4"/>
    <w:uiPriority w:val="9"/>
    <w:semiHidden/>
    <w:rsid w:val="0046416D"/>
    <w:rPr>
      <w:rFonts w:asciiTheme="minorHAnsi" w:eastAsiaTheme="minorEastAsia" w:hAnsiTheme="minorHAnsi" w:cstheme="minorBidi"/>
      <w:b/>
      <w:bCs/>
      <w:sz w:val="28"/>
      <w:szCs w:val="28"/>
      <w:lang w:val="fr-CA" w:eastAsia="en-US"/>
    </w:rPr>
  </w:style>
  <w:style w:type="character" w:customStyle="1" w:styleId="Heading5Char">
    <w:name w:val="Heading 5 Char"/>
    <w:basedOn w:val="DefaultParagraphFont"/>
    <w:link w:val="Heading5"/>
    <w:uiPriority w:val="9"/>
    <w:semiHidden/>
    <w:rsid w:val="0046416D"/>
    <w:rPr>
      <w:rFonts w:asciiTheme="minorHAnsi" w:eastAsiaTheme="minorEastAsia" w:hAnsiTheme="minorHAnsi" w:cstheme="minorBidi"/>
      <w:b/>
      <w:bCs/>
      <w:i/>
      <w:iCs/>
      <w:sz w:val="26"/>
      <w:szCs w:val="26"/>
      <w:lang w:val="fr-CA" w:eastAsia="en-US"/>
    </w:rPr>
  </w:style>
  <w:style w:type="character" w:customStyle="1" w:styleId="Heading6Char">
    <w:name w:val="Heading 6 Char"/>
    <w:basedOn w:val="DefaultParagraphFont"/>
    <w:link w:val="Heading6"/>
    <w:uiPriority w:val="9"/>
    <w:semiHidden/>
    <w:rsid w:val="0046416D"/>
    <w:rPr>
      <w:rFonts w:asciiTheme="minorHAnsi" w:eastAsiaTheme="minorEastAsia" w:hAnsiTheme="minorHAnsi" w:cstheme="minorBidi"/>
      <w:b/>
      <w:bCs/>
      <w:sz w:val="22"/>
      <w:szCs w:val="22"/>
      <w:lang w:val="fr-CA" w:eastAsia="en-US"/>
    </w:rPr>
  </w:style>
  <w:style w:type="character" w:customStyle="1" w:styleId="Heading7Char">
    <w:name w:val="Heading 7 Char"/>
    <w:basedOn w:val="DefaultParagraphFont"/>
    <w:link w:val="Heading7"/>
    <w:uiPriority w:val="9"/>
    <w:semiHidden/>
    <w:rsid w:val="0046416D"/>
    <w:rPr>
      <w:rFonts w:asciiTheme="minorHAnsi" w:eastAsiaTheme="minorEastAsia" w:hAnsiTheme="minorHAnsi" w:cstheme="minorBidi"/>
      <w:sz w:val="24"/>
      <w:szCs w:val="24"/>
      <w:lang w:val="fr-CA" w:eastAsia="en-US"/>
    </w:rPr>
  </w:style>
  <w:style w:type="character" w:customStyle="1" w:styleId="Heading8Char">
    <w:name w:val="Heading 8 Char"/>
    <w:basedOn w:val="DefaultParagraphFont"/>
    <w:link w:val="Heading8"/>
    <w:uiPriority w:val="9"/>
    <w:semiHidden/>
    <w:rsid w:val="0046416D"/>
    <w:rPr>
      <w:rFonts w:asciiTheme="minorHAnsi" w:eastAsiaTheme="minorEastAsia" w:hAnsiTheme="minorHAnsi" w:cstheme="minorBidi"/>
      <w:i/>
      <w:iCs/>
      <w:sz w:val="24"/>
      <w:szCs w:val="24"/>
      <w:lang w:val="fr-CA" w:eastAsia="en-US"/>
    </w:rPr>
  </w:style>
  <w:style w:type="character" w:customStyle="1" w:styleId="Heading9Char">
    <w:name w:val="Heading 9 Char"/>
    <w:basedOn w:val="DefaultParagraphFont"/>
    <w:link w:val="Heading9"/>
    <w:uiPriority w:val="9"/>
    <w:semiHidden/>
    <w:rsid w:val="0046416D"/>
    <w:rPr>
      <w:rFonts w:asciiTheme="majorHAnsi" w:eastAsiaTheme="majorEastAsia" w:hAnsiTheme="majorHAnsi" w:cstheme="majorBidi"/>
      <w:sz w:val="22"/>
      <w:szCs w:val="22"/>
      <w:lang w:val="fr-CA" w:eastAsia="en-US"/>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46416D"/>
    <w:rPr>
      <w:lang w:val="fr-CA" w:eastAsia="en-US"/>
    </w:rPr>
  </w:style>
  <w:style w:type="paragraph" w:styleId="BodyText2">
    <w:name w:val="Body Text 2"/>
    <w:basedOn w:val="Normal"/>
    <w:link w:val="BodyText2Char"/>
    <w:uiPriority w:val="99"/>
    <w:pPr>
      <w:jc w:val="center"/>
    </w:pPr>
    <w:rPr>
      <w:rFonts w:ascii="Arial Black" w:hAnsi="Arial Black"/>
      <w:sz w:val="28"/>
    </w:rPr>
  </w:style>
  <w:style w:type="character" w:customStyle="1" w:styleId="BodyText2Char">
    <w:name w:val="Body Text 2 Char"/>
    <w:basedOn w:val="DefaultParagraphFont"/>
    <w:link w:val="BodyText2"/>
    <w:uiPriority w:val="99"/>
    <w:semiHidden/>
    <w:rsid w:val="0046416D"/>
    <w:rPr>
      <w:lang w:val="fr-CA" w:eastAsia="en-US"/>
    </w:rPr>
  </w:style>
  <w:style w:type="paragraph" w:styleId="BodyText3">
    <w:name w:val="Body Text 3"/>
    <w:basedOn w:val="Normal"/>
    <w:link w:val="BodyText3Char"/>
    <w:uiPriority w:val="99"/>
    <w:pPr>
      <w:jc w:val="both"/>
    </w:pPr>
    <w:rPr>
      <w:rFonts w:ascii="Arial Black" w:hAnsi="Arial Black"/>
      <w:b/>
    </w:rPr>
  </w:style>
  <w:style w:type="character" w:customStyle="1" w:styleId="BodyText3Char">
    <w:name w:val="Body Text 3 Char"/>
    <w:basedOn w:val="DefaultParagraphFont"/>
    <w:link w:val="BodyText3"/>
    <w:uiPriority w:val="99"/>
    <w:semiHidden/>
    <w:rsid w:val="0046416D"/>
    <w:rPr>
      <w:sz w:val="16"/>
      <w:szCs w:val="16"/>
      <w:lang w:val="fr-CA"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46416D"/>
    <w:rPr>
      <w:lang w:val="fr-CA"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46416D"/>
    <w:rPr>
      <w:lang w:val="fr-CA" w:eastAsia="en-U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semiHidden/>
    <w:rsid w:val="008D4F14"/>
    <w:rPr>
      <w:rFonts w:ascii="Tahoma" w:hAnsi="Tahoma" w:cs="Tahoma"/>
      <w:sz w:val="16"/>
      <w:szCs w:val="16"/>
    </w:rPr>
  </w:style>
  <w:style w:type="character" w:customStyle="1" w:styleId="BalloonTextChar">
    <w:name w:val="Balloon Text Char"/>
    <w:basedOn w:val="DefaultParagraphFont"/>
    <w:link w:val="BalloonText"/>
    <w:uiPriority w:val="99"/>
    <w:semiHidden/>
    <w:rsid w:val="0046416D"/>
    <w:rPr>
      <w:sz w:val="0"/>
      <w:szCs w:val="0"/>
      <w:lang w:val="fr-CA" w:eastAsia="en-US"/>
    </w:rPr>
  </w:style>
  <w:style w:type="character" w:styleId="CommentReference">
    <w:name w:val="annotation reference"/>
    <w:basedOn w:val="DefaultParagraphFont"/>
    <w:uiPriority w:val="99"/>
    <w:semiHidden/>
    <w:rsid w:val="00EA19EE"/>
    <w:rPr>
      <w:sz w:val="16"/>
    </w:rPr>
  </w:style>
  <w:style w:type="paragraph" w:styleId="CommentText">
    <w:name w:val="annotation text"/>
    <w:basedOn w:val="Normal"/>
    <w:link w:val="CommentTextChar"/>
    <w:uiPriority w:val="99"/>
    <w:semiHidden/>
    <w:rsid w:val="00EA19EE"/>
  </w:style>
  <w:style w:type="character" w:customStyle="1" w:styleId="CommentTextChar">
    <w:name w:val="Comment Text Char"/>
    <w:basedOn w:val="DefaultParagraphFont"/>
    <w:link w:val="CommentText"/>
    <w:uiPriority w:val="99"/>
    <w:semiHidden/>
    <w:rsid w:val="0046416D"/>
    <w:rPr>
      <w:lang w:val="fr-CA" w:eastAsia="en-US"/>
    </w:rPr>
  </w:style>
  <w:style w:type="paragraph" w:styleId="CommentSubject">
    <w:name w:val="annotation subject"/>
    <w:basedOn w:val="CommentText"/>
    <w:next w:val="CommentText"/>
    <w:link w:val="CommentSubjectChar"/>
    <w:uiPriority w:val="99"/>
    <w:semiHidden/>
    <w:rsid w:val="00EA19EE"/>
    <w:rPr>
      <w:b/>
      <w:bCs/>
    </w:rPr>
  </w:style>
  <w:style w:type="character" w:customStyle="1" w:styleId="CommentSubjectChar">
    <w:name w:val="Comment Subject Char"/>
    <w:basedOn w:val="CommentTextChar"/>
    <w:link w:val="CommentSubject"/>
    <w:uiPriority w:val="99"/>
    <w:semiHidden/>
    <w:rsid w:val="0046416D"/>
    <w:rPr>
      <w:b/>
      <w:bCs/>
    </w:rPr>
  </w:style>
  <w:style w:type="table" w:styleId="TableGrid">
    <w:name w:val="Table Grid"/>
    <w:basedOn w:val="TableNormal"/>
    <w:uiPriority w:val="59"/>
    <w:rsid w:val="00EB0F8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audet@air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443</Words>
  <Characters>2529</Characters>
  <Application>Microsoft Office Outlook</Application>
  <DocSecurity>0</DocSecurity>
  <Lines>0</Lines>
  <Paragraphs>0</Paragraphs>
  <ScaleCrop>false</ScaleCrop>
  <Company>Air France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13 novembre dernier, était lancé le centre ROC (Rappel Opérationnel des Clients)</dc:title>
  <dc:subject/>
  <dc:creator>Air France</dc:creator>
  <cp:keywords/>
  <dc:description/>
  <cp:lastModifiedBy>AUDET Diane</cp:lastModifiedBy>
  <cp:revision>2</cp:revision>
  <cp:lastPrinted>2012-08-28T13:30:00Z</cp:lastPrinted>
  <dcterms:created xsi:type="dcterms:W3CDTF">2012-08-28T13:30:00Z</dcterms:created>
  <dcterms:modified xsi:type="dcterms:W3CDTF">2012-08-28T13:30:00Z</dcterms:modified>
</cp:coreProperties>
</file>